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C4" w:rsidRDefault="002F3EC4" w:rsidP="002F3EC4">
      <w:pPr>
        <w:ind w:left="2977" w:hanging="2977"/>
        <w:rPr>
          <w:rFonts w:ascii="Angsana New" w:hAnsi="Angsana New"/>
          <w:sz w:val="32"/>
          <w:szCs w:val="32"/>
        </w:rPr>
      </w:pPr>
      <w:bookmarkStart w:id="0" w:name="_GoBack"/>
      <w:bookmarkEnd w:id="0"/>
      <w:r w:rsidRPr="00450FA1">
        <w:rPr>
          <w:rFonts w:ascii="Angsana New" w:hAnsi="Angsana New" w:hint="cs"/>
          <w:b/>
          <w:bCs/>
          <w:sz w:val="32"/>
          <w:szCs w:val="32"/>
          <w:cs/>
        </w:rPr>
        <w:t>หัวข้อการค้นคว้าแบบอิสระ</w:t>
      </w:r>
      <w:r>
        <w:rPr>
          <w:rFonts w:ascii="Angsana New" w:hAnsi="Angsana New" w:hint="cs"/>
          <w:sz w:val="32"/>
          <w:szCs w:val="32"/>
          <w:cs/>
        </w:rPr>
        <w:tab/>
      </w:r>
      <w:r w:rsidR="006F0165" w:rsidRPr="006F0165">
        <w:rPr>
          <w:rFonts w:ascii="Arial" w:hAnsi="Arial"/>
          <w:color w:val="000000" w:themeColor="text1"/>
          <w:sz w:val="32"/>
          <w:szCs w:val="32"/>
          <w:shd w:val="clear" w:color="auto" w:fill="FFFFFF"/>
          <w:cs/>
        </w:rPr>
        <w:t>การวิเคราะห์ความสัมพันธ์ของราคาหลักทรัพย์กลุ่มธนาคารพาณิชย์กับดัชนีราคาหลักทรัพย์</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cs/>
        </w:rPr>
      </w:pPr>
      <w:r w:rsidRPr="00450FA1">
        <w:rPr>
          <w:rFonts w:ascii="Angsana New" w:hAnsi="Angsana New" w:hint="cs"/>
          <w:b/>
          <w:bCs/>
          <w:sz w:val="32"/>
          <w:szCs w:val="32"/>
          <w:cs/>
        </w:rPr>
        <w:t>ผู้เขียน</w:t>
      </w:r>
      <w:r>
        <w:rPr>
          <w:rFonts w:ascii="Angsana New" w:hAnsi="Angsana New" w:hint="cs"/>
          <w:sz w:val="32"/>
          <w:szCs w:val="32"/>
          <w:cs/>
        </w:rPr>
        <w:tab/>
      </w:r>
      <w:r w:rsidR="006F0165">
        <w:rPr>
          <w:rFonts w:ascii="Angsana New" w:hAnsi="Angsana New" w:hint="cs"/>
          <w:sz w:val="32"/>
          <w:szCs w:val="32"/>
          <w:cs/>
        </w:rPr>
        <w:t>นางสาวสายใจ   อุ่นอินต๊ะ</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sidRPr="00450FA1">
        <w:rPr>
          <w:rFonts w:ascii="Angsana New" w:hAnsi="Angsana New" w:hint="cs"/>
          <w:b/>
          <w:bCs/>
          <w:sz w:val="32"/>
          <w:szCs w:val="32"/>
          <w:cs/>
        </w:rPr>
        <w:t>ปริญญา</w:t>
      </w:r>
      <w:r>
        <w:rPr>
          <w:rFonts w:ascii="Angsana New" w:hAnsi="Angsana New" w:hint="cs"/>
          <w:sz w:val="32"/>
          <w:szCs w:val="32"/>
          <w:cs/>
        </w:rPr>
        <w:tab/>
        <w:t>เศรษฐศาสตรมหาบัณฑิต</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sidRPr="00450FA1">
        <w:rPr>
          <w:rFonts w:ascii="Angsana New" w:hAnsi="Angsana New" w:hint="cs"/>
          <w:b/>
          <w:bCs/>
          <w:sz w:val="32"/>
          <w:szCs w:val="32"/>
          <w:cs/>
        </w:rPr>
        <w:t>คณะกรรมการที่ปรึกษา</w:t>
      </w:r>
      <w:r>
        <w:rPr>
          <w:rFonts w:ascii="Angsana New" w:hAnsi="Angsana New" w:hint="cs"/>
          <w:sz w:val="32"/>
          <w:szCs w:val="32"/>
          <w:cs/>
        </w:rPr>
        <w:tab/>
      </w:r>
      <w:r w:rsidR="006F0165">
        <w:rPr>
          <w:rFonts w:ascii="Angsana New" w:hAnsi="Angsana New" w:hint="cs"/>
          <w:sz w:val="32"/>
          <w:szCs w:val="32"/>
          <w:cs/>
        </w:rPr>
        <w:t>รศ.ดร.ประเสริฐ ไชยทิพย์</w:t>
      </w:r>
      <w:r>
        <w:rPr>
          <w:rFonts w:ascii="Angsana New" w:hAnsi="Angsana New" w:hint="cs"/>
          <w:sz w:val="32"/>
          <w:szCs w:val="32"/>
          <w:cs/>
        </w:rPr>
        <w:tab/>
        <w:t>อาจารย์ที่ปรึกษาหลัก</w:t>
      </w:r>
    </w:p>
    <w:p w:rsidR="002F3EC4" w:rsidRDefault="002F3EC4" w:rsidP="002F3EC4">
      <w:pPr>
        <w:ind w:left="2977" w:hanging="2977"/>
        <w:rPr>
          <w:rFonts w:ascii="Angsana New" w:hAnsi="Angsana New"/>
          <w:sz w:val="32"/>
          <w:szCs w:val="32"/>
        </w:rPr>
      </w:pPr>
      <w:r>
        <w:rPr>
          <w:rFonts w:ascii="Angsana New" w:hAnsi="Angsana New" w:hint="cs"/>
          <w:sz w:val="32"/>
          <w:szCs w:val="32"/>
          <w:cs/>
        </w:rPr>
        <w:tab/>
      </w:r>
      <w:r w:rsidR="006F0165">
        <w:rPr>
          <w:rFonts w:ascii="Angsana New" w:hAnsi="Angsana New" w:hint="cs"/>
          <w:sz w:val="32"/>
          <w:szCs w:val="32"/>
          <w:cs/>
        </w:rPr>
        <w:t xml:space="preserve">ผศ.ดร.ชูเกียรติ </w:t>
      </w:r>
      <w:r w:rsidR="006F0165">
        <w:rPr>
          <w:rFonts w:ascii="Angsana New" w:hAnsi="Angsana New" w:hint="cs"/>
          <w:sz w:val="32"/>
          <w:szCs w:val="32"/>
          <w:cs/>
        </w:rPr>
        <w:tab/>
        <w:t xml:space="preserve">  ชัยบุญศรี</w:t>
      </w:r>
      <w:r>
        <w:rPr>
          <w:rFonts w:ascii="Angsana New" w:hAnsi="Angsana New" w:hint="cs"/>
          <w:sz w:val="32"/>
          <w:szCs w:val="32"/>
          <w:cs/>
        </w:rPr>
        <w:tab/>
        <w:t>อาจารย์ที่ปรึกษาร่วม</w:t>
      </w:r>
    </w:p>
    <w:p w:rsidR="002F3EC4" w:rsidRDefault="002F3EC4" w:rsidP="002F3EC4">
      <w:pPr>
        <w:ind w:left="2977" w:hanging="2977"/>
        <w:rPr>
          <w:rFonts w:ascii="Angsana New" w:hAnsi="Angsana New"/>
          <w:b/>
          <w:bCs/>
          <w:sz w:val="40"/>
          <w:szCs w:val="40"/>
        </w:rPr>
      </w:pPr>
    </w:p>
    <w:p w:rsidR="002F3EC4" w:rsidRDefault="002F3EC4" w:rsidP="002F3EC4">
      <w:pPr>
        <w:ind w:left="2977" w:hanging="2977"/>
        <w:jc w:val="center"/>
        <w:rPr>
          <w:rFonts w:ascii="Angsana New" w:hAnsi="Angsana New"/>
          <w:b/>
          <w:bCs/>
          <w:sz w:val="40"/>
          <w:szCs w:val="40"/>
        </w:rPr>
      </w:pPr>
      <w:r w:rsidRPr="00450FA1">
        <w:rPr>
          <w:rFonts w:ascii="Angsana New" w:hAnsi="Angsana New" w:hint="cs"/>
          <w:b/>
          <w:bCs/>
          <w:sz w:val="40"/>
          <w:szCs w:val="40"/>
          <w:cs/>
        </w:rPr>
        <w:t>บทคัดย่อ</w:t>
      </w:r>
    </w:p>
    <w:p w:rsidR="002F3EC4" w:rsidRPr="00450FA1" w:rsidRDefault="002F3EC4" w:rsidP="002F3EC4">
      <w:pPr>
        <w:ind w:left="2977" w:hanging="2977"/>
        <w:rPr>
          <w:rFonts w:ascii="Angsana New" w:hAnsi="Angsana New"/>
          <w:b/>
          <w:bCs/>
          <w:sz w:val="40"/>
          <w:szCs w:val="40"/>
        </w:rPr>
      </w:pPr>
    </w:p>
    <w:p w:rsidR="006F0165" w:rsidRPr="00273A11" w:rsidRDefault="006F0165" w:rsidP="006F0165">
      <w:pPr>
        <w:pStyle w:val="NoSpacing"/>
        <w:spacing w:after="240"/>
        <w:ind w:firstLine="720"/>
        <w:jc w:val="thaiDistribute"/>
        <w:rPr>
          <w:rFonts w:ascii="Angsana New" w:hAnsi="Angsana New" w:cs="Angsana New"/>
          <w:color w:val="000000" w:themeColor="text1"/>
          <w:sz w:val="32"/>
          <w:szCs w:val="32"/>
        </w:rPr>
      </w:pPr>
      <w:r w:rsidRPr="00273A11">
        <w:rPr>
          <w:rFonts w:ascii="Angsana New" w:hAnsi="Angsana New" w:cs="Angsana New"/>
          <w:color w:val="000000" w:themeColor="text1"/>
          <w:sz w:val="32"/>
          <w:szCs w:val="32"/>
          <w:cs/>
        </w:rPr>
        <w:t>การศึกษานี้ทำ</w:t>
      </w:r>
      <w:r w:rsidRPr="00273A11">
        <w:rPr>
          <w:rFonts w:ascii="Angsana New" w:hAnsi="Angsana New" w:cs="Angsana New"/>
          <w:color w:val="000000" w:themeColor="text1"/>
          <w:sz w:val="32"/>
          <w:szCs w:val="32"/>
          <w:shd w:val="clear" w:color="auto" w:fill="FFFFFF"/>
          <w:cs/>
        </w:rPr>
        <w:t>การวิเคราะห์ความสัมพันธ์ของราคาหลักทรัพย์กลุ่มธนาคารพาณิชย์กับดัชนีราคาหลักทรัพย์</w:t>
      </w:r>
      <w:r w:rsidRPr="00273A11">
        <w:rPr>
          <w:rFonts w:ascii="Angsana New" w:hAnsi="Angsana New" w:cs="Angsana New"/>
          <w:color w:val="000000" w:themeColor="text1"/>
          <w:sz w:val="32"/>
          <w:szCs w:val="32"/>
          <w:cs/>
        </w:rPr>
        <w:t xml:space="preserve"> ปี</w:t>
      </w:r>
      <w:r w:rsidRPr="00273A11">
        <w:rPr>
          <w:rFonts w:ascii="Angsana New" w:hAnsi="Angsana New" w:cs="Angsana New"/>
          <w:color w:val="000000" w:themeColor="text1"/>
          <w:sz w:val="32"/>
          <w:szCs w:val="32"/>
        </w:rPr>
        <w:t xml:space="preserve"> 2558</w:t>
      </w:r>
      <w:r w:rsidRPr="00273A11">
        <w:rPr>
          <w:rFonts w:ascii="Angsana New" w:hAnsi="Angsana New" w:cs="Angsana New"/>
          <w:color w:val="000000" w:themeColor="text1"/>
          <w:sz w:val="32"/>
          <w:szCs w:val="32"/>
          <w:cs/>
        </w:rPr>
        <w:t xml:space="preserve">  โดยมีวัตถุประสงค์  </w:t>
      </w:r>
      <w:r w:rsidRPr="00273A11">
        <w:rPr>
          <w:rFonts w:ascii="Angsana New" w:hAnsi="Angsana New" w:cs="Angsana New"/>
          <w:color w:val="000000" w:themeColor="text1"/>
          <w:sz w:val="32"/>
          <w:szCs w:val="32"/>
        </w:rPr>
        <w:t>2</w:t>
      </w:r>
      <w:r w:rsidRPr="00273A11">
        <w:rPr>
          <w:rFonts w:ascii="Angsana New" w:hAnsi="Angsana New" w:cs="Angsana New"/>
          <w:color w:val="000000" w:themeColor="text1"/>
          <w:sz w:val="32"/>
          <w:szCs w:val="32"/>
          <w:cs/>
        </w:rPr>
        <w:t xml:space="preserve">  ประการ คือ  หนึ่ง เพื่อศึกษาสภาพสภาวะการลงทุนของกลุ่มธนาคารในตลาดหลักทรัพย์แห่งประเทศไทย สอง</w:t>
      </w:r>
      <w:r w:rsidRPr="00273A11">
        <w:rPr>
          <w:rFonts w:ascii="Angsana New" w:hAnsi="Angsana New" w:cs="Angsana New"/>
          <w:color w:val="000000" w:themeColor="text1"/>
          <w:sz w:val="32"/>
          <w:szCs w:val="32"/>
        </w:rPr>
        <w:t xml:space="preserve"> </w:t>
      </w:r>
      <w:r w:rsidRPr="00273A11">
        <w:rPr>
          <w:rFonts w:ascii="Angsana New" w:hAnsi="Angsana New" w:cs="Angsana New"/>
          <w:color w:val="000000" w:themeColor="text1"/>
          <w:sz w:val="32"/>
          <w:szCs w:val="32"/>
          <w:cs/>
        </w:rPr>
        <w:t>เพื่อวิเคราะห์หาความสัมพันธ์โดยใช้วิธีมูลค่าสุดโต่งแบบคู่ (</w:t>
      </w:r>
      <w:r w:rsidRPr="00273A11">
        <w:rPr>
          <w:rFonts w:ascii="Angsana New" w:hAnsi="Angsana New" w:cs="Angsana New"/>
          <w:color w:val="000000" w:themeColor="text1"/>
          <w:sz w:val="32"/>
          <w:szCs w:val="32"/>
        </w:rPr>
        <w:t xml:space="preserve">Bivariate Extreme Value) </w:t>
      </w:r>
      <w:r w:rsidRPr="00273A11">
        <w:rPr>
          <w:rFonts w:ascii="Angsana New" w:hAnsi="Angsana New" w:cs="Angsana New"/>
          <w:color w:val="000000" w:themeColor="text1"/>
          <w:sz w:val="32"/>
          <w:szCs w:val="32"/>
          <w:cs/>
        </w:rPr>
        <w:t>ของราคาหลักทรัพย์กลุ่มธนาคารกับราคาดัชนีหลักทรัพย์ในตลาดหลักทรัพย์แห่งประเทศไทย</w:t>
      </w:r>
    </w:p>
    <w:p w:rsidR="006F0165" w:rsidRPr="00273A11" w:rsidRDefault="006F0165" w:rsidP="006F0165">
      <w:pPr>
        <w:pStyle w:val="BodyText2"/>
        <w:spacing w:after="240"/>
        <w:ind w:firstLine="720"/>
        <w:jc w:val="thaiDistribute"/>
        <w:rPr>
          <w:rFonts w:eastAsia="Calibri" w:hAnsi="Angsana New"/>
          <w:color w:val="000000" w:themeColor="text1"/>
        </w:rPr>
      </w:pPr>
      <w:r w:rsidRPr="00273A11">
        <w:rPr>
          <w:rFonts w:hAnsi="Angsana New"/>
          <w:color w:val="000000" w:themeColor="text1"/>
          <w:cs/>
        </w:rPr>
        <w:t>จากการศึกษาและวิเคราะห์</w:t>
      </w:r>
      <w:r w:rsidRPr="00273A11">
        <w:rPr>
          <w:rFonts w:eastAsia="Calibri" w:hAnsi="Angsana New"/>
          <w:color w:val="000000" w:themeColor="text1"/>
          <w:cs/>
        </w:rPr>
        <w:t>สภาพสภาวะของกลุ่มธนาคารตลาดหลักทรัพย์แห่งประเทศไทย</w:t>
      </w:r>
      <w:r w:rsidRPr="00273A11">
        <w:rPr>
          <w:rFonts w:hAnsi="Angsana New"/>
          <w:color w:val="000000" w:themeColor="text1"/>
          <w:cs/>
        </w:rPr>
        <w:t xml:space="preserve"> ทางด้าน</w:t>
      </w:r>
      <w:r w:rsidRPr="00273A11">
        <w:rPr>
          <w:rFonts w:eastAsia="Calibri" w:hAnsi="Angsana New"/>
          <w:color w:val="000000" w:themeColor="text1"/>
          <w:cs/>
        </w:rPr>
        <w:t xml:space="preserve">งบดุลของแต่ละธนาคาร </w:t>
      </w:r>
      <w:r w:rsidRPr="00273A11">
        <w:rPr>
          <w:rFonts w:hAnsi="Angsana New"/>
          <w:color w:val="000000" w:themeColor="text1"/>
          <w:cs/>
        </w:rPr>
        <w:t xml:space="preserve">พบว่า  </w:t>
      </w:r>
      <w:r w:rsidRPr="00273A11">
        <w:rPr>
          <w:rFonts w:eastAsia="Calibri" w:hAnsi="Angsana New"/>
          <w:color w:val="000000" w:themeColor="text1"/>
          <w:cs/>
        </w:rPr>
        <w:t>สถานภาพของ</w:t>
      </w:r>
      <w:r w:rsidRPr="00273A11">
        <w:rPr>
          <w:rFonts w:eastAsia="Calibri" w:hAnsi="Angsana New" w:hint="cs"/>
          <w:color w:val="000000" w:themeColor="text1"/>
          <w:cs/>
        </w:rPr>
        <w:t>กลุ่ม</w:t>
      </w:r>
      <w:r w:rsidRPr="00273A11">
        <w:rPr>
          <w:rFonts w:eastAsia="Calibri" w:hAnsi="Angsana New"/>
          <w:color w:val="000000" w:themeColor="text1"/>
          <w:cs/>
        </w:rPr>
        <w:t xml:space="preserve">ธนาคาร มีสินทรัพย์ที่มากกว่าหนี้สิน </w:t>
      </w:r>
      <w:r w:rsidRPr="00273A11">
        <w:rPr>
          <w:rFonts w:hAnsi="Angsana New"/>
          <w:color w:val="000000" w:themeColor="text1"/>
          <w:cs/>
        </w:rPr>
        <w:t xml:space="preserve">สินทรัพย์หมุนเวียนมากกว่าหนี้สินหมุนเวียน </w:t>
      </w:r>
      <w:r w:rsidRPr="00273A11">
        <w:rPr>
          <w:rFonts w:eastAsia="Calibri" w:hAnsi="Angsana New"/>
          <w:color w:val="000000" w:themeColor="text1"/>
          <w:cs/>
        </w:rPr>
        <w:t>อัตราผลตอบแทนต่อสินทรัพย์รวมเฉลี่ย (</w:t>
      </w:r>
      <w:r w:rsidRPr="00273A11">
        <w:rPr>
          <w:rFonts w:eastAsia="Calibri" w:hAnsi="Angsana New"/>
          <w:color w:val="000000" w:themeColor="text1"/>
        </w:rPr>
        <w:t xml:space="preserve">ROA) </w:t>
      </w:r>
      <w:r w:rsidRPr="00273A11">
        <w:rPr>
          <w:rFonts w:eastAsia="Calibri" w:hAnsi="Angsana New"/>
          <w:color w:val="000000" w:themeColor="text1"/>
          <w:cs/>
        </w:rPr>
        <w:t>และ ส่วนของเจ้าของเฉลี่ย (</w:t>
      </w:r>
      <w:r w:rsidRPr="00273A11">
        <w:rPr>
          <w:rFonts w:eastAsia="Calibri" w:hAnsi="Angsana New"/>
          <w:color w:val="000000" w:themeColor="text1"/>
        </w:rPr>
        <w:t xml:space="preserve">ROE) </w:t>
      </w:r>
      <w:r w:rsidRPr="00273A11">
        <w:rPr>
          <w:rFonts w:eastAsia="Calibri" w:hAnsi="Angsana New"/>
          <w:color w:val="000000" w:themeColor="text1"/>
          <w:cs/>
        </w:rPr>
        <w:t>สูงกว่าปี</w:t>
      </w:r>
      <w:r w:rsidRPr="00273A11">
        <w:rPr>
          <w:rFonts w:eastAsia="Calibri" w:hAnsi="Angsana New" w:hint="cs"/>
          <w:color w:val="000000" w:themeColor="text1"/>
          <w:cs/>
        </w:rPr>
        <w:t xml:space="preserve">ที่ผ่านมา แสดงถึงธนาคารมีผลกำไรและผลตอบแทนที่มีประสิทธิภาพสูง </w:t>
      </w:r>
      <w:r w:rsidRPr="00273A11">
        <w:rPr>
          <w:rFonts w:hAnsi="Angsana New" w:hint="cs"/>
          <w:color w:val="000000" w:themeColor="text1"/>
          <w:cs/>
        </w:rPr>
        <w:t>ทางด้านการ</w:t>
      </w:r>
      <w:r w:rsidRPr="00273A11">
        <w:rPr>
          <w:rFonts w:hAnsi="Angsana New"/>
          <w:color w:val="000000" w:themeColor="text1"/>
          <w:cs/>
        </w:rPr>
        <w:t>วิเคราะห์มูลค่าหลักทรัพย์ตามราคาตลาด</w:t>
      </w:r>
      <w:r w:rsidRPr="00273A11">
        <w:rPr>
          <w:rFonts w:hAnsi="Angsana New" w:hint="cs"/>
          <w:color w:val="000000" w:themeColor="text1"/>
          <w:cs/>
        </w:rPr>
        <w:t xml:space="preserve"> </w:t>
      </w:r>
      <w:r w:rsidRPr="00273A11">
        <w:rPr>
          <w:rFonts w:hAnsi="Angsana New"/>
          <w:color w:val="000000" w:themeColor="text1"/>
          <w:cs/>
        </w:rPr>
        <w:t>(</w:t>
      </w:r>
      <w:r w:rsidRPr="00273A11">
        <w:rPr>
          <w:rFonts w:hAnsi="Angsana New"/>
          <w:color w:val="000000" w:themeColor="text1"/>
        </w:rPr>
        <w:t xml:space="preserve">Market Capitalization) </w:t>
      </w:r>
      <w:r w:rsidRPr="00273A11">
        <w:rPr>
          <w:rFonts w:hAnsi="Angsana New" w:hint="cs"/>
          <w:color w:val="000000" w:themeColor="text1"/>
          <w:cs/>
        </w:rPr>
        <w:t>พบว่า</w:t>
      </w:r>
      <w:r w:rsidRPr="00273A11">
        <w:rPr>
          <w:rFonts w:eastAsia="Calibri" w:hAnsi="Angsana New" w:hint="cs"/>
          <w:color w:val="000000" w:themeColor="text1"/>
          <w:cs/>
        </w:rPr>
        <w:t xml:space="preserve">สิ้นปี </w:t>
      </w:r>
      <w:r w:rsidRPr="00273A11">
        <w:rPr>
          <w:rFonts w:eastAsia="Calibri" w:hAnsi="Angsana New"/>
          <w:color w:val="000000" w:themeColor="text1"/>
        </w:rPr>
        <w:t xml:space="preserve">2557 </w:t>
      </w:r>
      <w:r w:rsidRPr="00273A11">
        <w:rPr>
          <w:rFonts w:eastAsia="Calibri" w:hAnsi="Angsana New"/>
          <w:color w:val="000000" w:themeColor="text1"/>
          <w:cs/>
        </w:rPr>
        <w:t>มูลค่าหลักทรัพย์ตามราคาตลาด</w:t>
      </w:r>
      <w:r w:rsidRPr="00273A11">
        <w:rPr>
          <w:rFonts w:eastAsia="Calibri" w:hAnsi="Angsana New" w:hint="cs"/>
          <w:color w:val="000000" w:themeColor="text1"/>
          <w:cs/>
        </w:rPr>
        <w:t xml:space="preserve">เพิ่มขึ้นกว่าปี </w:t>
      </w:r>
      <w:r w:rsidRPr="00273A11">
        <w:rPr>
          <w:rFonts w:eastAsia="Calibri" w:hAnsi="Angsana New"/>
          <w:color w:val="000000" w:themeColor="text1"/>
        </w:rPr>
        <w:t xml:space="preserve">2556 </w:t>
      </w:r>
      <w:r w:rsidRPr="00273A11">
        <w:rPr>
          <w:rFonts w:eastAsia="Calibri" w:hAnsi="Angsana New" w:hint="cs"/>
          <w:color w:val="000000" w:themeColor="text1"/>
          <w:cs/>
        </w:rPr>
        <w:t>ถึงร้อยละ</w:t>
      </w:r>
      <w:r w:rsidRPr="00273A11">
        <w:rPr>
          <w:rFonts w:eastAsia="Calibri" w:hAnsi="Angsana New"/>
          <w:color w:val="000000" w:themeColor="text1"/>
        </w:rPr>
        <w:t>21.97</w:t>
      </w:r>
      <w:r w:rsidRPr="00273A11">
        <w:rPr>
          <w:rFonts w:eastAsia="Calibri" w:hAnsi="Angsana New"/>
          <w:color w:val="000000" w:themeColor="text1"/>
          <w:cs/>
        </w:rPr>
        <w:t>สะท้อนให้ผู้ลงทุนเห็น ถึงขนาดและความน่าสนใจลงทุนของตลาดหลักทรัพย์ ทั้งในแง่ ของสภาพคล่องปริมาณและประเภทสินค้าที่จะเลือกลงทุน</w:t>
      </w:r>
      <w:r w:rsidRPr="00273A11">
        <w:rPr>
          <w:rFonts w:eastAsia="Calibri" w:hAnsi="Angsana New" w:hint="cs"/>
          <w:color w:val="000000" w:themeColor="text1"/>
          <w:cs/>
        </w:rPr>
        <w:t xml:space="preserve"> ดังนั้น จากการวิเคราะห์ ทั้งสองกลุ่มธนาคาร เหมาะสมกับการลงทุน อย่างไรก็ตามต้องคำนึงถึงปัจจัยเสี่ยงด้านอื่นๆประกอบการพิจารณา</w:t>
      </w:r>
    </w:p>
    <w:p w:rsidR="00B016CA" w:rsidRDefault="006F0165" w:rsidP="006F0165">
      <w:pPr>
        <w:spacing w:after="240"/>
        <w:ind w:firstLine="720"/>
        <w:jc w:val="thaiDistribute"/>
        <w:rPr>
          <w:rFonts w:ascii="Angsana New" w:hAnsi="Angsana New"/>
          <w:color w:val="000000" w:themeColor="text1"/>
          <w:sz w:val="32"/>
          <w:szCs w:val="32"/>
          <w:cs/>
        </w:rPr>
        <w:sectPr w:rsidR="00B016CA" w:rsidSect="00B016CA">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985" w:header="709" w:footer="964" w:gutter="0"/>
          <w:pgNumType w:fmt="thaiLetters" w:start="4"/>
          <w:cols w:space="708"/>
          <w:docGrid w:linePitch="360"/>
        </w:sectPr>
      </w:pPr>
      <w:r w:rsidRPr="00273A11">
        <w:rPr>
          <w:rFonts w:ascii="Angsana New" w:hAnsi="Angsana New" w:hint="cs"/>
          <w:color w:val="000000" w:themeColor="text1"/>
          <w:sz w:val="32"/>
          <w:szCs w:val="32"/>
          <w:cs/>
        </w:rPr>
        <w:t>ผลการ</w:t>
      </w:r>
      <w:r w:rsidRPr="00273A11">
        <w:rPr>
          <w:rFonts w:ascii="Angsana New" w:eastAsia="Calibri" w:hAnsi="Angsana New"/>
          <w:color w:val="000000" w:themeColor="text1"/>
          <w:sz w:val="32"/>
          <w:szCs w:val="32"/>
          <w:cs/>
        </w:rPr>
        <w:t>วิเคราะห์หาความสัมพันธ์โดยใช้วิธีมูลค่าสุดโต่งแบบคู่ (</w:t>
      </w:r>
      <w:r w:rsidRPr="00273A11">
        <w:rPr>
          <w:rFonts w:ascii="Angsana New" w:eastAsia="Calibri" w:hAnsi="Angsana New"/>
          <w:color w:val="000000" w:themeColor="text1"/>
          <w:sz w:val="32"/>
          <w:szCs w:val="32"/>
        </w:rPr>
        <w:t xml:space="preserve">Bivariate Extreme Value) </w:t>
      </w:r>
      <w:r w:rsidRPr="00273A11">
        <w:rPr>
          <w:rFonts w:ascii="Angsana New" w:eastAsia="Calibri" w:hAnsi="Angsana New"/>
          <w:color w:val="000000" w:themeColor="text1"/>
          <w:sz w:val="32"/>
          <w:szCs w:val="32"/>
          <w:cs/>
        </w:rPr>
        <w:t>ของราคาหลักทรัพย์กลุ่มธนาคารกับราคาดัชนีหลักทรัพย์ในตลาดหลักทรัพย์แห่งประเทศไทย</w:t>
      </w:r>
      <w:r w:rsidRPr="00273A11">
        <w:rPr>
          <w:rFonts w:ascii="Angsana New" w:hAnsi="Angsana New"/>
          <w:color w:val="000000" w:themeColor="text1"/>
          <w:sz w:val="32"/>
          <w:szCs w:val="32"/>
        </w:rPr>
        <w:t xml:space="preserve"> </w:t>
      </w:r>
      <w:r w:rsidRPr="00273A11">
        <w:rPr>
          <w:rFonts w:ascii="Angsana New" w:hAnsi="Angsana New" w:hint="cs"/>
          <w:color w:val="000000" w:themeColor="text1"/>
          <w:sz w:val="32"/>
          <w:szCs w:val="32"/>
          <w:cs/>
        </w:rPr>
        <w:t>จาก</w:t>
      </w:r>
    </w:p>
    <w:p w:rsidR="006F0165" w:rsidRPr="00273A11" w:rsidRDefault="006F0165" w:rsidP="00B016CA">
      <w:pPr>
        <w:spacing w:after="240"/>
        <w:jc w:val="thaiDistribute"/>
        <w:rPr>
          <w:rFonts w:ascii="Angsana New" w:eastAsia="Calibri" w:hAnsi="Angsana New"/>
          <w:color w:val="000000" w:themeColor="text1"/>
          <w:sz w:val="32"/>
          <w:szCs w:val="32"/>
          <w:cs/>
        </w:rPr>
      </w:pPr>
      <w:r w:rsidRPr="00273A11">
        <w:rPr>
          <w:rFonts w:ascii="Angsana New" w:hAnsi="Angsana New" w:hint="cs"/>
          <w:color w:val="000000" w:themeColor="text1"/>
          <w:sz w:val="32"/>
          <w:szCs w:val="32"/>
          <w:cs/>
        </w:rPr>
        <w:lastRenderedPageBreak/>
        <w:t>การทดสอบ</w:t>
      </w:r>
      <w:r w:rsidRPr="00273A11">
        <w:rPr>
          <w:rFonts w:ascii="Angsana New" w:eastAsia="Calibri" w:hAnsi="Angsana New"/>
          <w:color w:val="000000" w:themeColor="text1"/>
          <w:sz w:val="32"/>
          <w:szCs w:val="32"/>
          <w:cs/>
        </w:rPr>
        <w:t xml:space="preserve">โดยใช้การประมาณ </w:t>
      </w:r>
      <w:r w:rsidRPr="00273A11">
        <w:rPr>
          <w:rFonts w:ascii="Angsana New" w:eastAsia="Calibri" w:hAnsi="Angsana New"/>
          <w:color w:val="000000" w:themeColor="text1"/>
          <w:sz w:val="32"/>
          <w:szCs w:val="32"/>
        </w:rPr>
        <w:t xml:space="preserve">Bivariate Generalized Extreme Value Distribution </w:t>
      </w:r>
      <w:r w:rsidRPr="00273A11">
        <w:rPr>
          <w:rFonts w:ascii="Angsana New" w:eastAsia="Calibri" w:hAnsi="Angsana New"/>
          <w:color w:val="000000" w:themeColor="text1"/>
          <w:sz w:val="32"/>
          <w:szCs w:val="32"/>
          <w:cs/>
        </w:rPr>
        <w:t xml:space="preserve">วิธี </w:t>
      </w:r>
      <w:r w:rsidRPr="00273A11">
        <w:rPr>
          <w:rFonts w:ascii="Angsana New" w:eastAsia="Calibri" w:hAnsi="Angsana New"/>
          <w:color w:val="000000" w:themeColor="text1"/>
          <w:sz w:val="32"/>
          <w:szCs w:val="32"/>
        </w:rPr>
        <w:t xml:space="preserve">Bivariate Block Maxima </w:t>
      </w:r>
      <w:r w:rsidRPr="00273A11">
        <w:rPr>
          <w:rFonts w:ascii="Angsana New" w:eastAsia="Calibri" w:hAnsi="Angsana New" w:hint="cs"/>
          <w:color w:val="000000" w:themeColor="text1"/>
          <w:sz w:val="32"/>
          <w:szCs w:val="32"/>
          <w:cs/>
        </w:rPr>
        <w:t>และ</w:t>
      </w:r>
      <w:r w:rsidRPr="00273A11">
        <w:rPr>
          <w:rFonts w:ascii="Angsana New" w:eastAsia="Calibri" w:hAnsi="Angsana New"/>
          <w:color w:val="000000" w:themeColor="text1"/>
          <w:sz w:val="32"/>
          <w:szCs w:val="32"/>
        </w:rPr>
        <w:t xml:space="preserve">Bivariate Generalized Pareto Distribution </w:t>
      </w:r>
      <w:r w:rsidRPr="00273A11">
        <w:rPr>
          <w:rFonts w:ascii="Angsana New" w:eastAsia="Calibri" w:hAnsi="Angsana New"/>
          <w:color w:val="000000" w:themeColor="text1"/>
          <w:sz w:val="32"/>
          <w:szCs w:val="32"/>
          <w:cs/>
        </w:rPr>
        <w:t xml:space="preserve">วิธี </w:t>
      </w:r>
      <w:r w:rsidRPr="00273A11">
        <w:rPr>
          <w:rFonts w:ascii="Angsana New" w:eastAsia="Calibri" w:hAnsi="Angsana New"/>
          <w:color w:val="000000" w:themeColor="text1"/>
          <w:sz w:val="32"/>
          <w:szCs w:val="32"/>
        </w:rPr>
        <w:t>Bivariate Threshold Exceedances</w:t>
      </w:r>
      <w:r w:rsidRPr="00273A11">
        <w:rPr>
          <w:rFonts w:ascii="Angsana New" w:eastAsia="Calibri" w:hAnsi="Angsana New" w:hint="cs"/>
          <w:color w:val="000000" w:themeColor="text1"/>
          <w:sz w:val="32"/>
          <w:szCs w:val="32"/>
          <w:cs/>
        </w:rPr>
        <w:t xml:space="preserve"> </w:t>
      </w:r>
      <w:r w:rsidRPr="00273A11">
        <w:rPr>
          <w:rFonts w:ascii="Angsana New" w:eastAsia="Calibri" w:hAnsi="Angsana New"/>
          <w:color w:val="000000" w:themeColor="text1"/>
          <w:sz w:val="32"/>
          <w:szCs w:val="32"/>
          <w:cs/>
        </w:rPr>
        <w:t>ผลการประมาณการค่าสุดโต่งแบบคู่</w:t>
      </w:r>
      <w:r w:rsidRPr="00273A11">
        <w:rPr>
          <w:rFonts w:ascii="Angsana New" w:eastAsia="Calibri" w:hAnsi="Angsana New" w:hint="cs"/>
          <w:color w:val="000000" w:themeColor="text1"/>
          <w:sz w:val="32"/>
          <w:szCs w:val="32"/>
          <w:cs/>
        </w:rPr>
        <w:t xml:space="preserve"> </w:t>
      </w:r>
      <w:r w:rsidRPr="00273A11">
        <w:rPr>
          <w:rFonts w:ascii="Angsana New" w:eastAsia="Calibri" w:hAnsi="Angsana New"/>
          <w:color w:val="000000" w:themeColor="text1"/>
          <w:sz w:val="32"/>
          <w:szCs w:val="32"/>
          <w:cs/>
        </w:rPr>
        <w:t xml:space="preserve">พบว่า ราคาหลักทรัพย์ </w:t>
      </w:r>
      <w:r w:rsidRPr="00273A11">
        <w:rPr>
          <w:rFonts w:ascii="Angsana New" w:eastAsia="Calibri" w:hAnsi="Angsana New"/>
          <w:color w:val="000000" w:themeColor="text1"/>
          <w:sz w:val="32"/>
          <w:szCs w:val="32"/>
        </w:rPr>
        <w:t xml:space="preserve">SCB </w:t>
      </w:r>
      <w:r w:rsidRPr="00273A11">
        <w:rPr>
          <w:rFonts w:ascii="Angsana New" w:eastAsia="Calibri" w:hAnsi="Angsana New"/>
          <w:color w:val="000000" w:themeColor="text1"/>
          <w:sz w:val="32"/>
          <w:szCs w:val="32"/>
          <w:cs/>
        </w:rPr>
        <w:t>มีความสัมพันธ์กับราคาดัชนีหลักทรัพย์ (</w:t>
      </w:r>
      <w:r w:rsidRPr="00273A11">
        <w:rPr>
          <w:rFonts w:ascii="Angsana New" w:eastAsia="Calibri" w:hAnsi="Angsana New"/>
          <w:color w:val="000000" w:themeColor="text1"/>
          <w:sz w:val="32"/>
          <w:szCs w:val="32"/>
        </w:rPr>
        <w:t xml:space="preserve">SET) </w:t>
      </w:r>
      <w:r w:rsidRPr="00273A11">
        <w:rPr>
          <w:rFonts w:ascii="Angsana New" w:eastAsia="Calibri" w:hAnsi="Angsana New"/>
          <w:color w:val="000000" w:themeColor="text1"/>
          <w:sz w:val="32"/>
          <w:szCs w:val="32"/>
          <w:cs/>
        </w:rPr>
        <w:t xml:space="preserve">และราคาหลักทรัพย์ </w:t>
      </w:r>
      <w:r w:rsidRPr="00273A11">
        <w:rPr>
          <w:rFonts w:ascii="Angsana New" w:eastAsia="Calibri" w:hAnsi="Angsana New"/>
          <w:color w:val="000000" w:themeColor="text1"/>
          <w:sz w:val="32"/>
          <w:szCs w:val="32"/>
        </w:rPr>
        <w:t xml:space="preserve">KTB </w:t>
      </w:r>
      <w:r w:rsidRPr="00273A11">
        <w:rPr>
          <w:rFonts w:ascii="Angsana New" w:eastAsia="Calibri" w:hAnsi="Angsana New"/>
          <w:color w:val="000000" w:themeColor="text1"/>
          <w:sz w:val="32"/>
          <w:szCs w:val="32"/>
          <w:cs/>
        </w:rPr>
        <w:t>มีความสัมพันธ์กับราคาดัชนีหลักทรัพย์ (</w:t>
      </w:r>
      <w:r w:rsidRPr="00273A11">
        <w:rPr>
          <w:rFonts w:ascii="Angsana New" w:eastAsia="Calibri" w:hAnsi="Angsana New"/>
          <w:color w:val="000000" w:themeColor="text1"/>
          <w:sz w:val="32"/>
          <w:szCs w:val="32"/>
        </w:rPr>
        <w:t>SET)</w:t>
      </w:r>
      <w:r w:rsidRPr="00273A11">
        <w:rPr>
          <w:rFonts w:ascii="Angsana New" w:eastAsia="Calibri" w:hAnsi="Angsana New" w:hint="cs"/>
          <w:color w:val="000000" w:themeColor="text1"/>
          <w:sz w:val="32"/>
          <w:szCs w:val="32"/>
          <w:cs/>
        </w:rPr>
        <w:t>ในทิศทางเดียวกัน</w:t>
      </w:r>
    </w:p>
    <w:p w:rsidR="006F0165" w:rsidRPr="00273A11" w:rsidRDefault="006F0165" w:rsidP="006F0165">
      <w:pPr>
        <w:ind w:firstLine="720"/>
        <w:jc w:val="thaiDistribute"/>
        <w:rPr>
          <w:rFonts w:ascii="Angsana New" w:hAnsi="Angsana New"/>
          <w:color w:val="000000" w:themeColor="text1"/>
          <w:sz w:val="32"/>
          <w:szCs w:val="32"/>
        </w:rPr>
      </w:pPr>
      <w:r w:rsidRPr="00273A11">
        <w:rPr>
          <w:rFonts w:hint="cs"/>
          <w:color w:val="000000" w:themeColor="text1"/>
          <w:sz w:val="32"/>
          <w:szCs w:val="32"/>
          <w:cs/>
        </w:rPr>
        <w:t>ผลจากการศึกษานี้นำมาซึ่งข้อเสนอแนะ ประการแรก การลงทุนในหลักทรัพย์ควรพิจารณา</w:t>
      </w:r>
      <w:r w:rsidRPr="00273A11">
        <w:rPr>
          <w:rFonts w:ascii="Angsana New" w:hAnsi="Angsana New"/>
          <w:color w:val="000000" w:themeColor="text1"/>
          <w:sz w:val="32"/>
          <w:szCs w:val="32"/>
          <w:cs/>
        </w:rPr>
        <w:t>สภาพสภาวะการลงทุนของกลุ่มธนาคาร</w:t>
      </w:r>
      <w:r w:rsidRPr="00273A11">
        <w:rPr>
          <w:rFonts w:ascii="Angsana New" w:hAnsi="Angsana New" w:hint="cs"/>
          <w:color w:val="000000" w:themeColor="text1"/>
          <w:sz w:val="32"/>
          <w:szCs w:val="32"/>
          <w:cs/>
        </w:rPr>
        <w:t>พาณิชย์ ควบคู่กับ</w:t>
      </w:r>
      <w:r w:rsidRPr="00273A11">
        <w:rPr>
          <w:rFonts w:ascii="Angsana New" w:hAnsi="Angsana New"/>
          <w:color w:val="000000" w:themeColor="text1"/>
          <w:sz w:val="32"/>
          <w:szCs w:val="32"/>
          <w:cs/>
        </w:rPr>
        <w:t>ความสัมพันธ์โดยใช้วิธีมูลค่าสุดโต่งแบบคู่ (</w:t>
      </w:r>
      <w:r w:rsidRPr="00273A11">
        <w:rPr>
          <w:rFonts w:ascii="Angsana New" w:hAnsi="Angsana New"/>
          <w:color w:val="000000" w:themeColor="text1"/>
          <w:sz w:val="32"/>
          <w:szCs w:val="32"/>
        </w:rPr>
        <w:t>Bivariate Extreme Value)</w:t>
      </w:r>
      <w:r w:rsidRPr="00273A11">
        <w:rPr>
          <w:rFonts w:ascii="Angsana New" w:hAnsi="Angsana New" w:hint="cs"/>
          <w:color w:val="000000" w:themeColor="text1"/>
          <w:sz w:val="32"/>
          <w:szCs w:val="32"/>
          <w:cs/>
        </w:rPr>
        <w:t xml:space="preserve"> เพื่อกำหนดทิศทางการลงทุน ประการที่สอง การ</w:t>
      </w:r>
      <w:r w:rsidRPr="00273A11">
        <w:rPr>
          <w:rFonts w:ascii="Angsana New" w:eastAsia="Calibri" w:hAnsi="Angsana New"/>
          <w:color w:val="000000" w:themeColor="text1"/>
          <w:sz w:val="32"/>
          <w:szCs w:val="32"/>
          <w:cs/>
        </w:rPr>
        <w:t>วิเคราะห์หาความสัมพันธ์โดยใช้วิธีมูลค่าสุดโต่งแบบคู่ (</w:t>
      </w:r>
      <w:r w:rsidRPr="00273A11">
        <w:rPr>
          <w:rFonts w:ascii="Angsana New" w:eastAsia="Calibri" w:hAnsi="Angsana New"/>
          <w:color w:val="000000" w:themeColor="text1"/>
          <w:sz w:val="32"/>
          <w:szCs w:val="32"/>
        </w:rPr>
        <w:t xml:space="preserve">Bivariate Extreme Value) </w:t>
      </w:r>
      <w:r w:rsidRPr="00273A11">
        <w:rPr>
          <w:rFonts w:ascii="Angsana New" w:eastAsia="Calibri" w:hAnsi="Angsana New"/>
          <w:color w:val="000000" w:themeColor="text1"/>
          <w:sz w:val="32"/>
          <w:szCs w:val="32"/>
          <w:cs/>
        </w:rPr>
        <w:t>ได้ทำการศึกษาเพียง</w:t>
      </w:r>
      <w:r w:rsidRPr="00273A11">
        <w:rPr>
          <w:rFonts w:ascii="Angsana New" w:eastAsia="Calibri" w:hAnsi="Angsana New" w:hint="cs"/>
          <w:color w:val="000000" w:themeColor="text1"/>
          <w:sz w:val="32"/>
          <w:szCs w:val="32"/>
          <w:cs/>
        </w:rPr>
        <w:t>ด้าน</w:t>
      </w:r>
      <w:r w:rsidRPr="00273A11">
        <w:rPr>
          <w:rFonts w:ascii="Angsana New" w:eastAsia="Calibri" w:hAnsi="Angsana New"/>
          <w:color w:val="000000" w:themeColor="text1"/>
          <w:sz w:val="32"/>
          <w:szCs w:val="32"/>
        </w:rPr>
        <w:t xml:space="preserve"> Maximum Return</w:t>
      </w:r>
      <w:r w:rsidRPr="00273A11">
        <w:rPr>
          <w:rFonts w:hint="cs"/>
          <w:color w:val="000000" w:themeColor="text1"/>
          <w:sz w:val="32"/>
          <w:szCs w:val="32"/>
          <w:cs/>
        </w:rPr>
        <w:t xml:space="preserve"> ควรมีการเพิ่มศึกษาด้าน</w:t>
      </w:r>
      <w:r w:rsidRPr="00273A11">
        <w:rPr>
          <w:rFonts w:ascii="Angsana New" w:eastAsia="Calibri" w:hAnsi="Angsana New"/>
          <w:color w:val="000000" w:themeColor="text1"/>
          <w:sz w:val="32"/>
          <w:szCs w:val="32"/>
        </w:rPr>
        <w:t xml:space="preserve"> Maximum Loss </w:t>
      </w:r>
      <w:r w:rsidRPr="00273A11">
        <w:rPr>
          <w:rFonts w:ascii="Angsana New" w:eastAsia="Calibri" w:hAnsi="Angsana New" w:hint="cs"/>
          <w:color w:val="000000" w:themeColor="text1"/>
          <w:sz w:val="32"/>
          <w:szCs w:val="32"/>
          <w:cs/>
        </w:rPr>
        <w:t>เพื่อที่จะได้ภาพที่ชัดเจนยิ่งขึ้น</w:t>
      </w:r>
      <w:r w:rsidRPr="00273A11">
        <w:rPr>
          <w:rFonts w:hint="cs"/>
          <w:color w:val="000000" w:themeColor="text1"/>
          <w:sz w:val="32"/>
          <w:szCs w:val="32"/>
          <w:cs/>
        </w:rPr>
        <w:t xml:space="preserve"> </w:t>
      </w:r>
    </w:p>
    <w:p w:rsidR="006F0165" w:rsidRPr="00273A11" w:rsidRDefault="006F0165" w:rsidP="006F0165">
      <w:pPr>
        <w:rPr>
          <w:color w:val="000000" w:themeColor="text1"/>
        </w:rPr>
      </w:pPr>
    </w:p>
    <w:p w:rsidR="002F3EC4" w:rsidRPr="006F0165"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p>
    <w:p w:rsidR="002F3EC4" w:rsidRDefault="002F3EC4" w:rsidP="002F3EC4">
      <w:pPr>
        <w:rPr>
          <w:rFonts w:ascii="Angsana New" w:hAnsi="Angsana New"/>
          <w:sz w:val="32"/>
          <w:szCs w:val="32"/>
          <w:cs/>
        </w:rPr>
      </w:pPr>
      <w:r>
        <w:rPr>
          <w:rFonts w:ascii="Angsana New" w:hAnsi="Angsana New"/>
          <w:sz w:val="32"/>
          <w:szCs w:val="32"/>
          <w:cs/>
        </w:rPr>
        <w:br w:type="page"/>
      </w:r>
    </w:p>
    <w:p w:rsidR="002F3EC4" w:rsidRDefault="002F3EC4" w:rsidP="002F3EC4">
      <w:pPr>
        <w:autoSpaceDE w:val="0"/>
        <w:autoSpaceDN w:val="0"/>
        <w:adjustRightInd w:val="0"/>
        <w:ind w:left="2977" w:hanging="2977"/>
        <w:rPr>
          <w:rFonts w:ascii="Angsana New" w:hAnsi="Angsana New"/>
          <w:b/>
          <w:bCs/>
          <w:sz w:val="32"/>
          <w:szCs w:val="32"/>
        </w:rPr>
        <w:sectPr w:rsidR="002F3EC4" w:rsidSect="00E1127F">
          <w:pgSz w:w="11906" w:h="16838"/>
          <w:pgMar w:top="1418" w:right="1418" w:bottom="1701" w:left="1985" w:header="709" w:footer="964" w:gutter="0"/>
          <w:pgNumType w:fmt="thaiLetters" w:start="5"/>
          <w:cols w:space="708"/>
          <w:docGrid w:linePitch="360"/>
        </w:sectPr>
      </w:pPr>
    </w:p>
    <w:p w:rsidR="002F3EC4" w:rsidRPr="00395D74" w:rsidRDefault="002F3EC4" w:rsidP="00395D74">
      <w:pPr>
        <w:pStyle w:val="Default"/>
        <w:ind w:left="2880" w:hanging="2880"/>
      </w:pPr>
      <w:r w:rsidRPr="00450FA1">
        <w:rPr>
          <w:b/>
          <w:bCs/>
          <w:sz w:val="32"/>
          <w:szCs w:val="32"/>
        </w:rPr>
        <w:lastRenderedPageBreak/>
        <w:t>Independent Study Title</w:t>
      </w:r>
      <w:r w:rsidRPr="00450FA1">
        <w:rPr>
          <w:sz w:val="32"/>
          <w:szCs w:val="32"/>
        </w:rPr>
        <w:t xml:space="preserve"> </w:t>
      </w:r>
      <w:r w:rsidRPr="00450FA1">
        <w:rPr>
          <w:sz w:val="32"/>
          <w:szCs w:val="32"/>
          <w:cs/>
        </w:rPr>
        <w:tab/>
      </w:r>
      <w:r w:rsidR="00395D74" w:rsidRPr="00395D74">
        <w:rPr>
          <w:sz w:val="32"/>
          <w:szCs w:val="32"/>
        </w:rPr>
        <w:t xml:space="preserve">Analysis </w:t>
      </w:r>
      <w:r w:rsidR="00A10D2E">
        <w:rPr>
          <w:sz w:val="32"/>
          <w:szCs w:val="32"/>
        </w:rPr>
        <w:t>of Relationship Between the SET Index and the SET Baking Sector Index</w:t>
      </w:r>
    </w:p>
    <w:p w:rsidR="002F3EC4" w:rsidRPr="00450FA1" w:rsidRDefault="00395D74" w:rsidP="00395D74">
      <w:pPr>
        <w:tabs>
          <w:tab w:val="left" w:pos="3606"/>
        </w:tabs>
        <w:autoSpaceDE w:val="0"/>
        <w:autoSpaceDN w:val="0"/>
        <w:adjustRightInd w:val="0"/>
        <w:ind w:left="2977" w:hanging="2977"/>
        <w:rPr>
          <w:rFonts w:ascii="Angsana New" w:hAnsi="Angsana New"/>
          <w:sz w:val="32"/>
          <w:szCs w:val="32"/>
          <w:cs/>
        </w:rPr>
      </w:pPr>
      <w:r>
        <w:rPr>
          <w:rFonts w:ascii="Angsana New" w:hAnsi="Angsana New"/>
          <w:sz w:val="32"/>
          <w:szCs w:val="32"/>
        </w:rPr>
        <w:tab/>
      </w:r>
      <w:r>
        <w:rPr>
          <w:rFonts w:ascii="Angsana New" w:hAnsi="Angsana New"/>
          <w:sz w:val="32"/>
          <w:szCs w:val="32"/>
          <w:cs/>
        </w:rPr>
        <w:tab/>
      </w:r>
    </w:p>
    <w:p w:rsidR="002F3EC4" w:rsidRDefault="002F3EC4" w:rsidP="0063044F">
      <w:pPr>
        <w:ind w:left="2880" w:hanging="2880"/>
        <w:rPr>
          <w:rFonts w:ascii="Angsana New" w:hAnsi="Angsana New"/>
          <w:sz w:val="32"/>
          <w:szCs w:val="32"/>
        </w:rPr>
      </w:pPr>
      <w:r>
        <w:rPr>
          <w:rFonts w:ascii="Angsana New" w:hAnsi="Angsana New"/>
          <w:b/>
          <w:bCs/>
          <w:sz w:val="32"/>
          <w:szCs w:val="32"/>
        </w:rPr>
        <w:t>Author</w:t>
      </w:r>
      <w:r w:rsidR="00A10D2E">
        <w:rPr>
          <w:rFonts w:ascii="Angsana New" w:hAnsi="Angsana New"/>
          <w:sz w:val="32"/>
          <w:szCs w:val="32"/>
        </w:rPr>
        <w:tab/>
      </w:r>
      <w:r w:rsidR="006F0165">
        <w:rPr>
          <w:rFonts w:ascii="Angsana New" w:hAnsi="Angsana New"/>
          <w:sz w:val="32"/>
          <w:szCs w:val="32"/>
        </w:rPr>
        <w:t>Ms.Saijai Aun-in-ta</w:t>
      </w:r>
    </w:p>
    <w:p w:rsidR="002F3EC4" w:rsidRDefault="002F3EC4" w:rsidP="002F3EC4">
      <w:pPr>
        <w:ind w:left="2977" w:hanging="2977"/>
        <w:rPr>
          <w:rFonts w:ascii="Angsana New" w:hAnsi="Angsana New"/>
          <w:sz w:val="32"/>
          <w:szCs w:val="32"/>
        </w:rPr>
      </w:pPr>
    </w:p>
    <w:p w:rsidR="002F3EC4" w:rsidRDefault="002F3EC4" w:rsidP="00A10D2E">
      <w:pPr>
        <w:ind w:left="2880" w:hanging="2880"/>
        <w:rPr>
          <w:rFonts w:ascii="Angsana New" w:hAnsi="Angsana New"/>
          <w:sz w:val="32"/>
          <w:szCs w:val="32"/>
        </w:rPr>
      </w:pPr>
      <w:r>
        <w:rPr>
          <w:rFonts w:ascii="Angsana New" w:hAnsi="Angsana New"/>
          <w:b/>
          <w:bCs/>
          <w:sz w:val="32"/>
          <w:szCs w:val="32"/>
        </w:rPr>
        <w:t>Degree</w:t>
      </w:r>
      <w:r>
        <w:rPr>
          <w:rFonts w:ascii="Angsana New" w:hAnsi="Angsana New" w:hint="cs"/>
          <w:sz w:val="32"/>
          <w:szCs w:val="32"/>
          <w:cs/>
        </w:rPr>
        <w:tab/>
      </w:r>
      <w:r>
        <w:rPr>
          <w:rFonts w:ascii="Angsana New" w:hAnsi="Angsana New"/>
          <w:sz w:val="32"/>
          <w:szCs w:val="32"/>
        </w:rPr>
        <w:t>Master of Economics</w:t>
      </w:r>
    </w:p>
    <w:p w:rsidR="002F3EC4" w:rsidRDefault="002F3EC4" w:rsidP="002F3EC4">
      <w:pPr>
        <w:ind w:left="2977" w:hanging="2977"/>
        <w:rPr>
          <w:rFonts w:ascii="Angsana New" w:hAnsi="Angsana New"/>
          <w:sz w:val="32"/>
          <w:szCs w:val="32"/>
        </w:rPr>
      </w:pPr>
    </w:p>
    <w:p w:rsidR="002F3EC4" w:rsidRPr="00B77DF9" w:rsidRDefault="002F3EC4" w:rsidP="0063044F">
      <w:pPr>
        <w:ind w:left="2880" w:hanging="2880"/>
        <w:rPr>
          <w:rFonts w:ascii="Angsana New" w:hAnsi="Angsana New"/>
          <w:sz w:val="32"/>
          <w:szCs w:val="32"/>
        </w:rPr>
      </w:pPr>
      <w:r w:rsidRPr="00B77DF9">
        <w:rPr>
          <w:rFonts w:ascii="Angsana New" w:hAnsi="Angsana New"/>
          <w:b/>
          <w:bCs/>
          <w:sz w:val="32"/>
          <w:szCs w:val="32"/>
        </w:rPr>
        <w:t>Advisory Committee</w:t>
      </w:r>
      <w:r w:rsidRPr="00B77DF9">
        <w:rPr>
          <w:rFonts w:ascii="Angsana New" w:hAnsi="Angsana New"/>
          <w:sz w:val="32"/>
          <w:szCs w:val="32"/>
          <w:cs/>
        </w:rPr>
        <w:tab/>
      </w:r>
      <w:r w:rsidR="006F0165" w:rsidRPr="00B77DF9">
        <w:rPr>
          <w:rFonts w:ascii="Angsana New" w:hAnsi="Angsana New"/>
          <w:sz w:val="32"/>
          <w:szCs w:val="32"/>
        </w:rPr>
        <w:t>Assoc. Prof. Dr</w:t>
      </w:r>
      <w:r w:rsidR="006F0165" w:rsidRPr="00B77DF9">
        <w:rPr>
          <w:rStyle w:val="smalltext"/>
          <w:rFonts w:ascii="Angsana New" w:hAnsi="Angsana New"/>
          <w:sz w:val="32"/>
          <w:szCs w:val="32"/>
        </w:rPr>
        <w:t>. Prasert Chaitip</w:t>
      </w:r>
      <w:r w:rsidR="006F0165" w:rsidRPr="00B77DF9">
        <w:rPr>
          <w:rFonts w:ascii="Angsana New" w:hAnsi="Angsana New"/>
          <w:sz w:val="32"/>
          <w:szCs w:val="32"/>
          <w:cs/>
        </w:rPr>
        <w:tab/>
      </w:r>
      <w:r>
        <w:rPr>
          <w:rFonts w:ascii="Angsana New" w:hAnsi="Angsana New"/>
          <w:sz w:val="32"/>
          <w:szCs w:val="32"/>
          <w:cs/>
        </w:rPr>
        <w:tab/>
      </w:r>
      <w:r w:rsidRPr="00B77DF9">
        <w:rPr>
          <w:rFonts w:ascii="Angsana New" w:hAnsi="Angsana New"/>
          <w:sz w:val="32"/>
          <w:szCs w:val="32"/>
        </w:rPr>
        <w:t>Advisor</w:t>
      </w:r>
    </w:p>
    <w:p w:rsidR="002F3EC4" w:rsidRPr="006F0165" w:rsidRDefault="002F3EC4" w:rsidP="00A10D2E">
      <w:pPr>
        <w:ind w:left="2880" w:hanging="2977"/>
        <w:rPr>
          <w:rFonts w:ascii="Angsana New" w:hAnsi="Angsana New"/>
          <w:b/>
          <w:bCs/>
          <w:sz w:val="40"/>
          <w:szCs w:val="40"/>
        </w:rPr>
      </w:pPr>
      <w:r w:rsidRPr="00B77DF9">
        <w:rPr>
          <w:rFonts w:ascii="Angsana New" w:hAnsi="Angsana New"/>
          <w:sz w:val="32"/>
          <w:szCs w:val="32"/>
          <w:cs/>
        </w:rPr>
        <w:tab/>
      </w:r>
      <w:r w:rsidR="00A10D2E">
        <w:rPr>
          <w:rFonts w:ascii="Angsana New" w:hAnsi="Angsana New"/>
          <w:sz w:val="32"/>
          <w:szCs w:val="32"/>
        </w:rPr>
        <w:t>Ass</w:t>
      </w:r>
      <w:r w:rsidR="006F0165">
        <w:rPr>
          <w:rFonts w:ascii="Angsana New" w:hAnsi="Angsana New"/>
          <w:sz w:val="32"/>
          <w:szCs w:val="32"/>
        </w:rPr>
        <w:t>t</w:t>
      </w:r>
      <w:r w:rsidR="006F0165" w:rsidRPr="00B77DF9">
        <w:rPr>
          <w:rFonts w:ascii="Angsana New" w:hAnsi="Angsana New"/>
          <w:sz w:val="32"/>
          <w:szCs w:val="32"/>
        </w:rPr>
        <w:t xml:space="preserve">. </w:t>
      </w:r>
      <w:r w:rsidR="006F0165">
        <w:rPr>
          <w:rStyle w:val="st"/>
          <w:rFonts w:ascii="Angsana New" w:hAnsi="Angsana New"/>
          <w:sz w:val="32"/>
          <w:szCs w:val="32"/>
        </w:rPr>
        <w:t xml:space="preserve">Prof. </w:t>
      </w:r>
      <w:r w:rsidR="006F0165" w:rsidRPr="00B77DF9">
        <w:rPr>
          <w:rStyle w:val="st"/>
          <w:rFonts w:ascii="Angsana New" w:hAnsi="Angsana New"/>
          <w:sz w:val="32"/>
          <w:szCs w:val="32"/>
        </w:rPr>
        <w:t>Dr. Chukiat Chaiboonsri</w:t>
      </w:r>
      <w:r>
        <w:rPr>
          <w:rFonts w:ascii="Angsana New" w:hAnsi="Angsana New"/>
          <w:sz w:val="32"/>
          <w:szCs w:val="32"/>
        </w:rPr>
        <w:tab/>
      </w:r>
      <w:r w:rsidRPr="00B77DF9">
        <w:rPr>
          <w:rFonts w:ascii="Angsana New" w:hAnsi="Angsana New"/>
          <w:sz w:val="32"/>
          <w:szCs w:val="32"/>
        </w:rPr>
        <w:t>Co-advisor</w:t>
      </w:r>
    </w:p>
    <w:p w:rsidR="006F0165" w:rsidRPr="006F0165" w:rsidRDefault="006F0165" w:rsidP="002F3EC4">
      <w:pPr>
        <w:ind w:left="2977" w:hanging="2977"/>
        <w:jc w:val="center"/>
        <w:rPr>
          <w:rFonts w:ascii="Angsana New" w:hAnsi="Angsana New"/>
          <w:sz w:val="40"/>
          <w:szCs w:val="40"/>
        </w:rPr>
      </w:pPr>
    </w:p>
    <w:p w:rsidR="002F3EC4" w:rsidRDefault="002F3EC4" w:rsidP="002F3EC4">
      <w:pPr>
        <w:ind w:left="2977" w:hanging="2977"/>
        <w:jc w:val="center"/>
        <w:rPr>
          <w:rFonts w:ascii="Angsana New" w:hAnsi="Angsana New"/>
          <w:b/>
          <w:bCs/>
          <w:sz w:val="40"/>
          <w:szCs w:val="40"/>
        </w:rPr>
      </w:pPr>
      <w:r>
        <w:rPr>
          <w:rFonts w:ascii="Angsana New" w:hAnsi="Angsana New"/>
          <w:b/>
          <w:bCs/>
          <w:sz w:val="40"/>
          <w:szCs w:val="40"/>
        </w:rPr>
        <w:t>ABSTRACT</w:t>
      </w:r>
    </w:p>
    <w:p w:rsidR="002F3EC4" w:rsidRPr="007E7674" w:rsidRDefault="002F3EC4" w:rsidP="002F3EC4">
      <w:pPr>
        <w:ind w:left="2977" w:hanging="2977"/>
        <w:rPr>
          <w:rFonts w:ascii="Angsana New" w:hAnsi="Angsana New"/>
          <w:b/>
          <w:bCs/>
          <w:color w:val="000000" w:themeColor="text1"/>
          <w:sz w:val="40"/>
          <w:szCs w:val="40"/>
        </w:rPr>
      </w:pPr>
    </w:p>
    <w:p w:rsidR="006F0165" w:rsidRPr="00A44A24" w:rsidRDefault="006F0165" w:rsidP="006F0165">
      <w:pPr>
        <w:pStyle w:val="NoSpacing"/>
        <w:spacing w:after="240"/>
        <w:ind w:firstLine="720"/>
        <w:jc w:val="thaiDistribute"/>
        <w:rPr>
          <w:rFonts w:ascii="Angsana New" w:hAnsi="Angsana New" w:cs="Angsana New"/>
          <w:sz w:val="32"/>
          <w:szCs w:val="32"/>
          <w:cs/>
        </w:rPr>
      </w:pPr>
      <w:r>
        <w:rPr>
          <w:rFonts w:ascii="Angsana New" w:hAnsi="Angsana New" w:cs="Angsana New"/>
          <w:sz w:val="32"/>
          <w:szCs w:val="32"/>
        </w:rPr>
        <w:t>This research analyzes the correlation between the commercial banks property prices and the property prices index (SET Index, 2558). The purposes of this research are 1) to study the investment circumstance of the commercial banks in The Stock Exchange of Thailand</w:t>
      </w:r>
      <w:r>
        <w:rPr>
          <w:rFonts w:ascii="Angsana New" w:hAnsi="Angsana New" w:cs="Angsana New" w:hint="cs"/>
          <w:sz w:val="32"/>
          <w:szCs w:val="32"/>
          <w:cs/>
        </w:rPr>
        <w:t xml:space="preserve"> </w:t>
      </w:r>
      <w:r>
        <w:rPr>
          <w:rFonts w:ascii="Angsana New" w:hAnsi="Angsana New" w:cs="Angsana New"/>
          <w:sz w:val="32"/>
          <w:szCs w:val="32"/>
        </w:rPr>
        <w:t xml:space="preserve">(SET) 2) to analyze the correlation between the commercial banks’ property prices and the SET index (2558) by using “Bivariate Extreme Value Method”. </w:t>
      </w:r>
    </w:p>
    <w:p w:rsidR="006F0165" w:rsidRDefault="006F0165" w:rsidP="006F0165">
      <w:pPr>
        <w:pStyle w:val="BodyText2"/>
        <w:spacing w:after="240"/>
        <w:ind w:firstLine="720"/>
        <w:jc w:val="thaiDistribute"/>
        <w:rPr>
          <w:rFonts w:eastAsia="Calibri" w:hAnsi="Angsana New"/>
        </w:rPr>
      </w:pPr>
      <w:r>
        <w:rPr>
          <w:rFonts w:eastAsia="Calibri" w:hAnsi="Angsana New"/>
        </w:rPr>
        <w:t>From the circumstance analysis of each commercial bank balances, they are found having positive status, the assets exceeding debts, current assets exceeding current liabilities, ROA (Returning On Assets) and ROE (Ratio of Owner Equity) increasing from last year. The results show their profitable status and efficiency. On the other hand, the analysis of market capitalization is found that at the end of 2557, the value of assets in the market will exceeds the values of 2556 for 21.97 percent. This analysis reflects ‘the size of’ and ‘incentives to invest on’ SET, on the investors, regarding both liquidity and the market’s type of goods to invest on. Therefore, from both circumstance and market capitalization analysis, it is proper to invest. However, the other</w:t>
      </w:r>
      <w:r>
        <w:rPr>
          <w:rFonts w:eastAsia="Calibri" w:hAnsi="Angsana New" w:hint="cs"/>
          <w:cs/>
        </w:rPr>
        <w:t xml:space="preserve"> </w:t>
      </w:r>
      <w:r>
        <w:rPr>
          <w:rFonts w:eastAsia="Calibri" w:hAnsi="Angsana New"/>
        </w:rPr>
        <w:t>external risk factors should be taken into account.</w:t>
      </w:r>
    </w:p>
    <w:p w:rsidR="00B016CA" w:rsidRDefault="006F0165" w:rsidP="006F0165">
      <w:pPr>
        <w:spacing w:after="240"/>
        <w:ind w:firstLine="720"/>
        <w:jc w:val="thaiDistribute"/>
        <w:rPr>
          <w:rFonts w:ascii="Angsana New" w:hAnsi="Angsana New"/>
          <w:sz w:val="32"/>
          <w:szCs w:val="32"/>
        </w:rPr>
        <w:sectPr w:rsidR="00B016CA" w:rsidSect="00B016CA">
          <w:pgSz w:w="11906" w:h="16838"/>
          <w:pgMar w:top="1985" w:right="1418" w:bottom="1701" w:left="1985" w:header="709" w:footer="964" w:gutter="0"/>
          <w:pgNumType w:fmt="thaiLetters" w:start="6"/>
          <w:cols w:space="708"/>
          <w:docGrid w:linePitch="360"/>
        </w:sectPr>
      </w:pPr>
      <w:r>
        <w:rPr>
          <w:rFonts w:ascii="Angsana New" w:eastAsia="Calibri" w:hAnsi="Angsana New"/>
          <w:sz w:val="32"/>
          <w:szCs w:val="32"/>
        </w:rPr>
        <w:t xml:space="preserve">In the correlation analysis by using ‘Bivariate Extreme Value’ between </w:t>
      </w:r>
      <w:r>
        <w:rPr>
          <w:rFonts w:ascii="Angsana New" w:hAnsi="Angsana New"/>
          <w:sz w:val="32"/>
          <w:szCs w:val="32"/>
        </w:rPr>
        <w:t xml:space="preserve">the commercial banks property prices and the property prices index (SET Index, 2558), the estimation methods are </w:t>
      </w:r>
    </w:p>
    <w:p w:rsidR="006F0165" w:rsidRPr="00B11E3E" w:rsidRDefault="006F0165" w:rsidP="00B016CA">
      <w:pPr>
        <w:spacing w:after="240"/>
        <w:jc w:val="thaiDistribute"/>
        <w:rPr>
          <w:rFonts w:ascii="Angsana New" w:eastAsia="Calibri" w:hAnsi="Angsana New"/>
          <w:sz w:val="32"/>
          <w:szCs w:val="32"/>
          <w:cs/>
        </w:rPr>
      </w:pPr>
      <w:r>
        <w:rPr>
          <w:rFonts w:ascii="Angsana New" w:hAnsi="Angsana New"/>
          <w:sz w:val="32"/>
          <w:szCs w:val="32"/>
        </w:rPr>
        <w:lastRenderedPageBreak/>
        <w:t>consisted of 1) “Bivariate Generalized Extreme Value Distribution’ using ‘Block Maxima’ and 2) “Bivariate Generalized Pareto Distribution” using ‘Bivariate Threshold Exceedances’. From the result of analysis, it is found that the price of ‘SCB property’ and ‘KTB property’ are correlated to SET in the same direction.</w:t>
      </w:r>
    </w:p>
    <w:p w:rsidR="006F0165" w:rsidRPr="00A219A3" w:rsidRDefault="006F0165" w:rsidP="006F0165">
      <w:pPr>
        <w:jc w:val="thaiDistribute"/>
        <w:rPr>
          <w:rFonts w:ascii="Angsana New" w:hAnsi="Angsana New"/>
          <w:sz w:val="32"/>
          <w:szCs w:val="32"/>
        </w:rPr>
      </w:pPr>
      <w:r>
        <w:tab/>
      </w:r>
      <w:r w:rsidRPr="00A219A3">
        <w:rPr>
          <w:rFonts w:ascii="Angsana New" w:hAnsi="Angsana New"/>
          <w:sz w:val="32"/>
          <w:szCs w:val="32"/>
        </w:rPr>
        <w:t>The results brought up the suggestions that, First, investing on SET requires the consideration on both commercial banks’ investing circumstances and the correlation using ‘Bivariate Extreme Value Method’, to focus the investment direction. Second, the correlation analysis using ‘Bivariate Extreme Value Method’ studies only on ‘Maximum Return’, however, it should include the study on ‘Maximum Loss’ in order to obtain clearer results.</w:t>
      </w:r>
    </w:p>
    <w:p w:rsidR="007B68F7" w:rsidRDefault="007B68F7" w:rsidP="002F3EC4"/>
    <w:sectPr w:rsidR="007B68F7" w:rsidSect="00E1127F">
      <w:pgSz w:w="11906" w:h="16838"/>
      <w:pgMar w:top="1418" w:right="1418" w:bottom="1701" w:left="1985" w:header="709" w:footer="964" w:gutter="0"/>
      <w:pgNumType w:fmt="thaiLetters"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12" w:rsidRDefault="009C5E12" w:rsidP="002F3EC4">
      <w:r>
        <w:separator/>
      </w:r>
    </w:p>
  </w:endnote>
  <w:endnote w:type="continuationSeparator" w:id="0">
    <w:p w:rsidR="009C5E12" w:rsidRDefault="009C5E12" w:rsidP="002F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F3" w:rsidRDefault="00317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950857"/>
      <w:docPartObj>
        <w:docPartGallery w:val="Page Numbers (Bottom of Page)"/>
        <w:docPartUnique/>
      </w:docPartObj>
    </w:sdtPr>
    <w:sdtEndPr/>
    <w:sdtContent>
      <w:p w:rsidR="002F3EC4" w:rsidRDefault="002F3EC4">
        <w:pPr>
          <w:pStyle w:val="Footer"/>
          <w:jc w:val="center"/>
        </w:pPr>
        <w:r w:rsidRPr="002F3EC4">
          <w:rPr>
            <w:rFonts w:ascii="Angsana New" w:hAnsi="Angsana New"/>
            <w:sz w:val="32"/>
            <w:szCs w:val="32"/>
          </w:rPr>
          <w:fldChar w:fldCharType="begin"/>
        </w:r>
        <w:r w:rsidRPr="002F3EC4">
          <w:rPr>
            <w:rFonts w:ascii="Angsana New" w:hAnsi="Angsana New"/>
            <w:sz w:val="32"/>
            <w:szCs w:val="32"/>
          </w:rPr>
          <w:instrText xml:space="preserve"> PAGE   \* MERGEFORMAT </w:instrText>
        </w:r>
        <w:r w:rsidRPr="002F3EC4">
          <w:rPr>
            <w:rFonts w:ascii="Angsana New" w:hAnsi="Angsana New"/>
            <w:sz w:val="32"/>
            <w:szCs w:val="32"/>
          </w:rPr>
          <w:fldChar w:fldCharType="separate"/>
        </w:r>
        <w:r w:rsidR="00317FF3">
          <w:rPr>
            <w:rFonts w:ascii="Angsana New" w:hAnsi="Angsana New"/>
            <w:noProof/>
            <w:sz w:val="32"/>
            <w:szCs w:val="32"/>
            <w:cs/>
          </w:rPr>
          <w:t>ง</w:t>
        </w:r>
        <w:r w:rsidRPr="002F3EC4">
          <w:rPr>
            <w:rFonts w:ascii="Angsana New" w:hAnsi="Angsana New"/>
            <w:noProof/>
            <w:sz w:val="32"/>
            <w:szCs w:val="32"/>
          </w:rPr>
          <w:fldChar w:fldCharType="end"/>
        </w:r>
      </w:p>
    </w:sdtContent>
  </w:sdt>
  <w:p w:rsidR="002F3EC4" w:rsidRDefault="002F3E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F3" w:rsidRDefault="00317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12" w:rsidRDefault="009C5E12" w:rsidP="002F3EC4">
      <w:r>
        <w:separator/>
      </w:r>
    </w:p>
  </w:footnote>
  <w:footnote w:type="continuationSeparator" w:id="0">
    <w:p w:rsidR="009C5E12" w:rsidRDefault="009C5E12" w:rsidP="002F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F3" w:rsidRDefault="00317FF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703985"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F3" w:rsidRDefault="00317FF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703986"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F3" w:rsidRDefault="00317FF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703984"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C4"/>
    <w:rsid w:val="00070BFB"/>
    <w:rsid w:val="002D5E99"/>
    <w:rsid w:val="002F3EC4"/>
    <w:rsid w:val="00317FF3"/>
    <w:rsid w:val="00395D74"/>
    <w:rsid w:val="005A4C21"/>
    <w:rsid w:val="005F6A2A"/>
    <w:rsid w:val="0063044F"/>
    <w:rsid w:val="006C1355"/>
    <w:rsid w:val="006F0165"/>
    <w:rsid w:val="007B68F7"/>
    <w:rsid w:val="007E7674"/>
    <w:rsid w:val="009B0231"/>
    <w:rsid w:val="009C5E12"/>
    <w:rsid w:val="00A10D2E"/>
    <w:rsid w:val="00AC4660"/>
    <w:rsid w:val="00B016CA"/>
    <w:rsid w:val="00B46DED"/>
    <w:rsid w:val="00D05E43"/>
    <w:rsid w:val="00E1127F"/>
    <w:rsid w:val="00E91F7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9A2C5F8-8B0C-4B2B-8B3B-3E5B6BD7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C4"/>
    <w:pPr>
      <w:spacing w:after="0" w:line="240" w:lineRule="auto"/>
    </w:pPr>
    <w:rPr>
      <w:rFonts w:ascii="Times New Roman" w:eastAsia="MS Mincho" w:hAnsi="Times New Roman" w:cs="Angsana New"/>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F3EC4"/>
  </w:style>
  <w:style w:type="character" w:customStyle="1" w:styleId="smalltext">
    <w:name w:val="smalltext"/>
    <w:basedOn w:val="DefaultParagraphFont"/>
    <w:rsid w:val="002F3EC4"/>
  </w:style>
  <w:style w:type="paragraph" w:styleId="Header">
    <w:name w:val="header"/>
    <w:basedOn w:val="Normal"/>
    <w:link w:val="HeaderChar"/>
    <w:uiPriority w:val="99"/>
    <w:unhideWhenUsed/>
    <w:rsid w:val="002F3EC4"/>
    <w:pPr>
      <w:tabs>
        <w:tab w:val="center" w:pos="4513"/>
        <w:tab w:val="right" w:pos="9026"/>
      </w:tabs>
    </w:pPr>
  </w:style>
  <w:style w:type="character" w:customStyle="1" w:styleId="HeaderChar">
    <w:name w:val="Header Char"/>
    <w:basedOn w:val="DefaultParagraphFont"/>
    <w:link w:val="Header"/>
    <w:uiPriority w:val="99"/>
    <w:rsid w:val="002F3EC4"/>
    <w:rPr>
      <w:rFonts w:ascii="Times New Roman" w:eastAsia="MS Mincho" w:hAnsi="Times New Roman" w:cs="Angsana New"/>
      <w:sz w:val="24"/>
      <w:lang w:eastAsia="ja-JP"/>
    </w:rPr>
  </w:style>
  <w:style w:type="paragraph" w:styleId="Footer">
    <w:name w:val="footer"/>
    <w:basedOn w:val="Normal"/>
    <w:link w:val="FooterChar"/>
    <w:uiPriority w:val="99"/>
    <w:unhideWhenUsed/>
    <w:rsid w:val="002F3EC4"/>
    <w:pPr>
      <w:tabs>
        <w:tab w:val="center" w:pos="4513"/>
        <w:tab w:val="right" w:pos="9026"/>
      </w:tabs>
    </w:pPr>
  </w:style>
  <w:style w:type="character" w:customStyle="1" w:styleId="FooterChar">
    <w:name w:val="Footer Char"/>
    <w:basedOn w:val="DefaultParagraphFont"/>
    <w:link w:val="Footer"/>
    <w:uiPriority w:val="99"/>
    <w:rsid w:val="002F3EC4"/>
    <w:rPr>
      <w:rFonts w:ascii="Times New Roman" w:eastAsia="MS Mincho" w:hAnsi="Times New Roman" w:cs="Angsana New"/>
      <w:sz w:val="24"/>
      <w:lang w:eastAsia="ja-JP"/>
    </w:rPr>
  </w:style>
  <w:style w:type="paragraph" w:styleId="BodyText2">
    <w:name w:val="Body Text 2"/>
    <w:basedOn w:val="Normal"/>
    <w:link w:val="BodyText2Char"/>
    <w:rsid w:val="006F0165"/>
    <w:rPr>
      <w:rFonts w:ascii="Angsana New" w:eastAsia="Times New Roman"/>
      <w:sz w:val="32"/>
      <w:szCs w:val="32"/>
      <w:lang w:eastAsia="en-US"/>
    </w:rPr>
  </w:style>
  <w:style w:type="character" w:customStyle="1" w:styleId="BodyText2Char">
    <w:name w:val="Body Text 2 Char"/>
    <w:basedOn w:val="DefaultParagraphFont"/>
    <w:link w:val="BodyText2"/>
    <w:rsid w:val="006F0165"/>
    <w:rPr>
      <w:rFonts w:ascii="Angsana New" w:eastAsia="Times New Roman" w:hAnsi="Times New Roman" w:cs="Angsana New"/>
      <w:sz w:val="32"/>
      <w:szCs w:val="32"/>
    </w:rPr>
  </w:style>
  <w:style w:type="paragraph" w:styleId="NoSpacing">
    <w:name w:val="No Spacing"/>
    <w:uiPriority w:val="1"/>
    <w:qFormat/>
    <w:rsid w:val="006F0165"/>
    <w:pPr>
      <w:spacing w:after="0" w:line="240" w:lineRule="auto"/>
    </w:pPr>
    <w:rPr>
      <w:rFonts w:ascii="Calibri" w:eastAsia="Calibri" w:hAnsi="Calibri" w:cs="Cordia New"/>
    </w:rPr>
  </w:style>
  <w:style w:type="paragraph" w:customStyle="1" w:styleId="Default">
    <w:name w:val="Default"/>
    <w:rsid w:val="00395D74"/>
    <w:pPr>
      <w:autoSpaceDE w:val="0"/>
      <w:autoSpaceDN w:val="0"/>
      <w:adjustRightInd w:val="0"/>
      <w:spacing w:after="0" w:line="240" w:lineRule="auto"/>
    </w:pPr>
    <w:rPr>
      <w:rFonts w:ascii="Angsana New" w:hAnsi="Angsana New" w:cs="Angsana New"/>
      <w:color w:val="000000"/>
      <w:sz w:val="24"/>
      <w:szCs w:val="24"/>
    </w:rPr>
  </w:style>
  <w:style w:type="paragraph" w:styleId="BalloonText">
    <w:name w:val="Balloon Text"/>
    <w:basedOn w:val="Normal"/>
    <w:link w:val="BalloonTextChar"/>
    <w:uiPriority w:val="99"/>
    <w:semiHidden/>
    <w:unhideWhenUsed/>
    <w:rsid w:val="00E1127F"/>
    <w:rPr>
      <w:rFonts w:ascii="Tahoma" w:hAnsi="Tahoma"/>
      <w:sz w:val="16"/>
      <w:szCs w:val="20"/>
    </w:rPr>
  </w:style>
  <w:style w:type="character" w:customStyle="1" w:styleId="BalloonTextChar">
    <w:name w:val="Balloon Text Char"/>
    <w:basedOn w:val="DefaultParagraphFont"/>
    <w:link w:val="BalloonText"/>
    <w:uiPriority w:val="99"/>
    <w:semiHidden/>
    <w:rsid w:val="00E1127F"/>
    <w:rPr>
      <w:rFonts w:ascii="Tahoma" w:eastAsia="MS Mincho" w:hAnsi="Tahoma" w:cs="Angsana New"/>
      <w:sz w:val="16"/>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3780">
      <w:bodyDiv w:val="1"/>
      <w:marLeft w:val="0"/>
      <w:marRight w:val="0"/>
      <w:marTop w:val="0"/>
      <w:marBottom w:val="0"/>
      <w:divBdr>
        <w:top w:val="none" w:sz="0" w:space="0" w:color="auto"/>
        <w:left w:val="none" w:sz="0" w:space="0" w:color="auto"/>
        <w:bottom w:val="none" w:sz="0" w:space="0" w:color="auto"/>
        <w:right w:val="none" w:sz="0" w:space="0" w:color="auto"/>
      </w:divBdr>
    </w:div>
    <w:div w:id="15436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0D20-7F44-4857-9FB2-3A331FA3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anusara-NB</dc:creator>
  <cp:lastModifiedBy>givegift</cp:lastModifiedBy>
  <cp:revision>2</cp:revision>
  <cp:lastPrinted>2015-08-15T10:54:00Z</cp:lastPrinted>
  <dcterms:created xsi:type="dcterms:W3CDTF">2015-08-19T05:48:00Z</dcterms:created>
  <dcterms:modified xsi:type="dcterms:W3CDTF">2015-08-19T05:48:00Z</dcterms:modified>
</cp:coreProperties>
</file>